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topLinePunct w:val="0"/>
        <w:bidi w:val="0"/>
        <w:spacing w:line="600" w:lineRule="exact"/>
        <w:jc w:val="center"/>
        <w:rPr>
          <w:rStyle w:val="16"/>
          <w:rFonts w:hint="default" w:ascii="Times New Roman" w:hAnsi="Times New Roman" w:eastAsia="华文中宋" w:cs="Times New Roman"/>
          <w:b/>
          <w:sz w:val="32"/>
          <w:szCs w:val="32"/>
          <w:highlight w:val="yellow"/>
          <w:lang w:eastAsia="zh-CN"/>
        </w:rPr>
      </w:pPr>
      <w:r>
        <w:rPr>
          <w:rStyle w:val="16"/>
          <w:rFonts w:hint="default" w:ascii="Times New Roman" w:hAnsi="Times New Roman" w:cs="Times New Roman"/>
          <w:b/>
          <w:lang w:val="en-US"/>
        </w:rPr>
        <w:t>3</w:t>
      </w:r>
      <w:r>
        <w:rPr>
          <w:rStyle w:val="16"/>
          <w:rFonts w:hint="default" w:ascii="Times New Roman" w:hAnsi="Times New Roman" w:cs="Times New Roman"/>
          <w:b/>
        </w:rPr>
        <w:t>.</w:t>
      </w:r>
      <w:r>
        <w:rPr>
          <w:rStyle w:val="16"/>
          <w:rFonts w:hint="default" w:ascii="Times New Roman" w:hAnsi="Times New Roman" w:cs="Times New Roman"/>
          <w:b/>
          <w:lang w:val="en-US"/>
        </w:rPr>
        <w:t>1</w:t>
      </w:r>
      <w:r>
        <w:rPr>
          <w:rStyle w:val="16"/>
          <w:rFonts w:hint="default" w:ascii="Times New Roman" w:hAnsi="Times New Roman" w:cs="Times New Roman"/>
          <w:b/>
        </w:rPr>
        <w:t xml:space="preserve">  关于202</w:t>
      </w:r>
      <w:r>
        <w:rPr>
          <w:rStyle w:val="16"/>
          <w:rFonts w:hint="default" w:ascii="Times New Roman" w:hAnsi="Times New Roman" w:cs="Times New Roman"/>
          <w:b/>
          <w:lang w:val="en-US"/>
        </w:rPr>
        <w:t>2</w:t>
      </w:r>
      <w:r>
        <w:rPr>
          <w:rStyle w:val="16"/>
          <w:rFonts w:hint="default" w:ascii="Times New Roman" w:hAnsi="Times New Roman" w:cs="Times New Roman"/>
          <w:b/>
        </w:rPr>
        <w:t>年</w:t>
      </w:r>
      <w:r>
        <w:rPr>
          <w:rStyle w:val="16"/>
          <w:rFonts w:hint="eastAsia" w:ascii="Times New Roman" w:hAnsi="Times New Roman" w:eastAsia="华文中宋" w:cs="Times New Roman"/>
          <w:b/>
          <w:lang w:val="en-US" w:eastAsia="zh-CN"/>
        </w:rPr>
        <w:t>宁安市</w:t>
      </w:r>
      <w:r>
        <w:rPr>
          <w:rStyle w:val="16"/>
          <w:rFonts w:hint="default" w:ascii="Times New Roman" w:hAnsi="Times New Roman" w:cs="Times New Roman"/>
          <w:b/>
        </w:rPr>
        <w:t>税收返还和转移支付执行情况说明</w:t>
      </w:r>
    </w:p>
    <w:p>
      <w:pPr>
        <w:keepNext w:val="0"/>
        <w:keepLines w:val="0"/>
        <w:kinsoku/>
        <w:wordWrap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税收返还和转移支付决算数为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294387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对下税收返还和转移支付决算数为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。具体情况如下：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黑体" w:cs="Times New Roman"/>
          <w:sz w:val="32"/>
          <w:szCs w:val="32"/>
        </w:rPr>
        <w:t>对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宁安市</w:t>
      </w:r>
      <w:r>
        <w:rPr>
          <w:rFonts w:hint="default" w:ascii="Times New Roman" w:hAnsi="Times New Roman" w:eastAsia="黑体" w:cs="Times New Roman"/>
          <w:sz w:val="32"/>
          <w:szCs w:val="32"/>
        </w:rPr>
        <w:t>税收返还和转移支付情况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（一）一般性转移支付收入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273625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。其中：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均衡性转移支付收入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56401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县级基本财力保障机制奖补资金收入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17747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结算补助收入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16359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资源枯竭型城市转移支付补助收入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产粮（油）大县奖励资金收入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6198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重点生态功能区转移支付收入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11801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固定数额补助收入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28616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革命老区转移支付收入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民族地区转移支付收入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边境地区转移支付收入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、欠发达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地区转移支付收入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4274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、公共安全共同财政事权转移支付收入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1215万元；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科学技术共同财政事权转移支付收入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文化旅游体育与传媒共同财政事权转移支付收入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3088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社会保障和就业共同财政事权转移支付收入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43684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医疗卫生共同财政事权转移支付收入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5190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节能环保共同财政事权转移支付收入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1784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农林水共同财政事权转移支付收入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61228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1838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资源勘探信息等共同财政事权转移支付收入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住房保障共同财政事权转移支付收入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粮油物资储备共同财政事权转移支付收入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灾害防治及应急管理共同财政事权转移支付收入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、增值税留抵退税转移支付收入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579万元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、其他退税减税降费转移支付收入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485万元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、补充县区财力转移支付收入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6234万元；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其他一般性转移支付收入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（二）专项转移支付收入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11755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。其中：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公共安全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文化旅游体育与传媒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社会保障和就业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节能环保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城乡社区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农林水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5696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资源勘探工业信息等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商业服务业等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自然资源海洋气象等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住房保障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2374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粮油物资储备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灾害防治及应急管理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（三）返还性收入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。其中：</w:t>
      </w:r>
    </w:p>
    <w:p>
      <w:pPr>
        <w:keepNext w:val="0"/>
        <w:keepLines w:val="0"/>
        <w:tabs>
          <w:tab w:val="left" w:pos="1160"/>
        </w:tabs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所得税基数返还收入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tabs>
          <w:tab w:val="left" w:pos="1160"/>
        </w:tabs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成品油税费改革税收返还收入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1680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tabs>
          <w:tab w:val="left" w:pos="1160"/>
        </w:tabs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增值税税收返还收入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6480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tabs>
          <w:tab w:val="left" w:pos="1160"/>
        </w:tabs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消费税税收返还收入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tabs>
          <w:tab w:val="left" w:pos="1160"/>
        </w:tabs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增值税“五五分享”税收返还收入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tabs>
          <w:tab w:val="left" w:pos="1160"/>
        </w:tabs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6、其他返还性收入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253万元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tabs>
          <w:tab w:val="left" w:pos="1160"/>
        </w:tabs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宁安市</w:t>
      </w:r>
      <w:r>
        <w:rPr>
          <w:rFonts w:hint="default" w:ascii="Times New Roman" w:hAnsi="Times New Roman" w:eastAsia="黑体" w:cs="Times New Roman"/>
          <w:sz w:val="32"/>
          <w:szCs w:val="32"/>
        </w:rPr>
        <w:t>税收返还和转移支付情况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（一）一般性转移支付支出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（二）专项转移支付支出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keepNext w:val="0"/>
        <w:keepLines w:val="0"/>
        <w:tabs>
          <w:tab w:val="left" w:pos="1160"/>
        </w:tabs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（三）返还性支出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Style w:val="16"/>
          <w:rFonts w:hint="eastAsia" w:ascii="方正小标宋简体" w:hAnsi="方正小标宋简体" w:eastAsia="方正小标宋简体" w:cs="方正小标宋简体"/>
          <w:b w:val="0"/>
          <w:bCs/>
          <w:highlight w:val="none"/>
        </w:rPr>
      </w:pPr>
      <w:r>
        <w:rPr>
          <w:rStyle w:val="16"/>
          <w:rFonts w:hint="default" w:ascii="方正小标宋简体" w:hAnsi="方正小标宋简体" w:eastAsia="方正小标宋简体" w:cs="方正小标宋简体"/>
          <w:b w:val="0"/>
          <w:bCs/>
          <w:highlight w:val="none"/>
          <w:lang w:val="en-US"/>
        </w:rPr>
        <w:t>3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highlight w:val="none"/>
        </w:rPr>
        <w:t>.</w:t>
      </w:r>
      <w:bookmarkStart w:id="0" w:name="bookmark241"/>
      <w:bookmarkStart w:id="1" w:name="bookmark240"/>
      <w:bookmarkStart w:id="2" w:name="bookmark242"/>
      <w:r>
        <w:rPr>
          <w:rStyle w:val="16"/>
          <w:rFonts w:hint="default" w:ascii="方正小标宋简体" w:hAnsi="方正小标宋简体" w:eastAsia="方正小标宋简体" w:cs="方正小标宋简体"/>
          <w:b w:val="0"/>
          <w:bCs/>
          <w:highlight w:val="none"/>
          <w:lang w:val="en-US"/>
        </w:rPr>
        <w:t>2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highlight w:val="none"/>
        </w:rPr>
        <w:t>关于202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highlight w:val="none"/>
          <w:lang w:val="en-US"/>
        </w:rPr>
        <w:t>2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highlight w:val="none"/>
        </w:rPr>
        <w:t>年举借政府债务情况的说明</w:t>
      </w:r>
      <w:bookmarkEnd w:id="0"/>
      <w:bookmarkEnd w:id="1"/>
      <w:bookmarkEnd w:id="2"/>
    </w:p>
    <w:p>
      <w:pPr>
        <w:keepNext w:val="0"/>
        <w:keepLines w:val="0"/>
        <w:kinsoku/>
        <w:wordWrap/>
        <w:topLinePunct w:val="0"/>
        <w:bidi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ind w:firstLine="960" w:firstLineChars="3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一、202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年法定债务情况</w:t>
      </w:r>
    </w:p>
    <w:p>
      <w:pPr>
        <w:snapToGrid w:val="0"/>
        <w:spacing w:line="360" w:lineRule="auto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（一）法定债务限额及余额。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末政府债务限额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363301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万元，其中:一般债务限额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285017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万元,专项债务限额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78284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年末地方政府债务余额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359702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万元，其中:一般债务余额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281456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万元,专项债务余额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78246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法定债务余额未突破法定债务限额。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394350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万元，其中:一般债务限额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309286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万元,专项债务限额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85064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万元。202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年地方政府债务余额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387153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万元，其中:一般债务余额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302127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万元,专项债务余额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法定债务余额未突破法定债务限额。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（二）地方政府债券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转贷收入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年省级发行地方政府债券转贷我市（县）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60757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万元。按类别划分，一般债券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53977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万元，专项债券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6780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万元。按品种划分，新增债券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31049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万元，再融资债券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29708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（三）地方政府债券还本付息。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年我市（县）地方政府债券还本付息规模为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42851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万元，其中：到期偿还本金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29719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万元，到期支付利息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万元。均已如期偿还，未发生法定债务兑付风险。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（四）地方政府债券使用安排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年发行地方政府新增债券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转贷我市（县）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31049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主要用于支持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生态环境保护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老旧小区改造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重大水利建设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城镇供水及供热、其他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等重大基础设施建设支出。</w:t>
      </w:r>
    </w:p>
    <w:p>
      <w:pPr>
        <w:snapToGrid w:val="0"/>
        <w:spacing w:line="360" w:lineRule="auto"/>
        <w:ind w:left="66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kinsoku/>
        <w:wordWrap/>
        <w:topLinePunct w:val="0"/>
        <w:bidi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kinsoku/>
        <w:wordWrap/>
        <w:topLinePunct w:val="0"/>
        <w:bidi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kinsoku/>
        <w:wordWrap/>
        <w:topLinePunct w:val="0"/>
        <w:bidi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kinsoku/>
        <w:wordWrap/>
        <w:topLinePunct w:val="0"/>
        <w:bidi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widowControl/>
        <w:kinsoku/>
        <w:wordWrap/>
        <w:topLinePunct w:val="0"/>
        <w:bidi w:val="0"/>
        <w:spacing w:line="600" w:lineRule="exact"/>
        <w:rPr>
          <w:rStyle w:val="16"/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kinsoku/>
        <w:wordWrap/>
        <w:topLinePunct w:val="0"/>
        <w:bidi w:val="0"/>
        <w:spacing w:line="600" w:lineRule="exact"/>
        <w:rPr>
          <w:rStyle w:val="16"/>
          <w:rFonts w:hint="default" w:ascii="Times New Roman" w:hAnsi="Times New Roman" w:cs="Times New Roma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Style w:val="16"/>
          <w:rFonts w:hint="default" w:ascii="方正小标宋简体" w:hAnsi="方正小标宋简体" w:eastAsia="方正小标宋简体" w:cs="方正小标宋简体"/>
          <w:b w:val="0"/>
          <w:bCs/>
          <w:lang w:val="en-US"/>
        </w:rPr>
        <w:t>3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>.</w:t>
      </w:r>
      <w:r>
        <w:rPr>
          <w:rStyle w:val="16"/>
          <w:rFonts w:hint="default" w:ascii="方正小标宋简体" w:hAnsi="方正小标宋简体" w:eastAsia="方正小标宋简体" w:cs="方正小标宋简体"/>
          <w:b w:val="0"/>
          <w:bCs/>
          <w:lang w:val="en-US"/>
        </w:rPr>
        <w:t>3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 xml:space="preserve"> 关于202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lang w:val="en-US"/>
        </w:rPr>
        <w:t>2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>年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宁安市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>“三公”经费支出情况的说明</w:t>
      </w:r>
    </w:p>
    <w:p>
      <w:pPr>
        <w:keepNext w:val="0"/>
        <w:keepLines w:val="0"/>
        <w:kinsoku/>
        <w:wordWrap/>
        <w:topLinePunct w:val="0"/>
        <w:bidi w:val="0"/>
        <w:spacing w:line="600" w:lineRule="exact"/>
        <w:ind w:firstLine="646"/>
        <w:contextualSpacing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“三公”经费一般公共预算财政拨款（以下简称“三公”经费）支出合计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654.66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万元。其中，因公出国（境）支出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万元，公务用车购置费支出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万元，公务用车运行维护费支出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449.47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万元，公务接待费支出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191.28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年决算对比，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“三公”经费支出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264.74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万元。一是因公出国（境）支出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无增加减少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；二是公务用车购置费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239.01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万元；三是公务用车运行维护费支出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35.02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万元；四是公务接待费支出增加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Style w:val="16"/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年年初预算对比，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“三公”经费支出增加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404.77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公务用车运行维护费及公务接待费较年初预算有所增加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。一是因公出国（境）支出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无增加减少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；二是公务用车购置费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公务用车更换供货商导致实际支出小于年初预算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；三是公务用车运行维护费支出增加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223.33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单位漏填了部门决算里面的三公经费年初预算，实际有预算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；四是公务接待费支出增加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182.53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单位漏填了部门决算里面的三公经费年初预算，实际有预算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Style w:val="16"/>
          <w:rFonts w:hint="default" w:ascii="方正小标宋简体" w:hAnsi="方正小标宋简体" w:eastAsia="方正小标宋简体" w:cs="方正小标宋简体"/>
          <w:b w:val="0"/>
          <w:bCs/>
          <w:lang w:val="en-US"/>
        </w:rPr>
        <w:t>3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>.</w:t>
      </w:r>
      <w:r>
        <w:rPr>
          <w:rStyle w:val="16"/>
          <w:rFonts w:hint="default" w:ascii="方正小标宋简体" w:hAnsi="方正小标宋简体" w:eastAsia="方正小标宋简体" w:cs="方正小标宋简体"/>
          <w:b w:val="0"/>
          <w:bCs/>
          <w:lang w:val="en-US"/>
        </w:rPr>
        <w:t>4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 xml:space="preserve"> 关于202</w:t>
      </w:r>
      <w:r>
        <w:rPr>
          <w:rStyle w:val="16"/>
          <w:rFonts w:hint="default" w:ascii="方正小标宋简体" w:hAnsi="方正小标宋简体" w:eastAsia="方正小标宋简体" w:cs="方正小标宋简体"/>
          <w:b w:val="0"/>
          <w:bCs/>
          <w:lang w:val="en-US"/>
        </w:rPr>
        <w:t>2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>年预算绩效工作</w:t>
      </w:r>
    </w:p>
    <w:p>
      <w:pPr>
        <w:keepNext w:val="0"/>
        <w:keepLines w:val="0"/>
        <w:widowControl/>
        <w:kinsoku/>
        <w:wordWrap/>
        <w:topLinePunct w:val="0"/>
        <w:bidi w:val="0"/>
        <w:spacing w:line="600" w:lineRule="exact"/>
        <w:jc w:val="center"/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>开展情况的说明</w:t>
      </w:r>
    </w:p>
    <w:p>
      <w:pPr>
        <w:keepNext w:val="0"/>
        <w:keepLines w:val="0"/>
        <w:tabs>
          <w:tab w:val="left" w:pos="1050"/>
        </w:tabs>
        <w:kinsoku/>
        <w:wordWrap/>
        <w:topLinePunct w:val="0"/>
        <w:bidi w:val="0"/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年预算绩效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工作开展情况说明如下：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组织本级部门开展全过程预算绩效管理工作，对实施情况进行督导考核。预算单位已对202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上级转移支付补助和本级预算安排项目支出100%开展绩效自评价。部门评价范围达到本部门所属单位项目数或资金总额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0%以上。财政部门对绩效目标和绩效自评进行审核，并提出财政重点绩效评价的总体要求，确定实施重点绩效评价的项目，进行重点绩效评价。积极探索拓展绩效评价新领域，政府性基金、国有资本预算、社保基金预算项目和部门预算整体支出、新增政府债券资金、PPP、政府投资基金、政府采购、政府购买服务等方面各选择1个项目开展绩效评价，实现自我突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逐步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完善“全方位、全过程、全覆盖”的预算绩效管理体系。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(二)绩效评价结果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开展绩效评价，对财政支出的各项目作出评判，建立和完善项目投资、资金管理等一系列规章制度，强化评价结果的反馈和应用，有力地推动各部门、各单位对项目的科学论证与规划，健全项目资金的核算和管理制度，从而改进资金使用的管理方式，促进部门内部管理的完善，节约财政资金支出。将绩效管理工作与部门项目和具体工作相结合。强化绩效评价结果应用，形成预算绩效管理的合力。加强预算绩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财政支出责任，提升预算绩效管理理念，发挥财政职能作用，加强预算绩效约束，逐步建立以绩效目标为导向，以绩效评价为手段，以结果应用为保障，以提高财政资金使用效益、优化财政资源配置为目标，覆盖所有财政性资金，贯穿预算编制、执行、监督全过程的预算绩效管理体系。</w:t>
      </w:r>
    </w:p>
    <w:p>
      <w:pPr>
        <w:keepNext w:val="0"/>
        <w:keepLines w:val="0"/>
        <w:kinsoku/>
        <w:wordWrap/>
        <w:topLinePunct w:val="0"/>
        <w:bidi w:val="0"/>
        <w:spacing w:line="600" w:lineRule="exact"/>
        <w:rPr>
          <w:rStyle w:val="16"/>
          <w:rFonts w:hint="default" w:ascii="Times New Roman" w:hAnsi="Times New Roman" w:cs="Times New Roman" w:eastAsiaTheme="minorEastAsia"/>
          <w:color w:val="auto"/>
          <w:sz w:val="21"/>
        </w:rPr>
      </w:pPr>
    </w:p>
    <w:p>
      <w:pPr>
        <w:keepNext w:val="0"/>
        <w:keepLines w:val="0"/>
        <w:kinsoku/>
        <w:wordWrap/>
        <w:topLinePunct w:val="0"/>
        <w:bidi w:val="0"/>
        <w:spacing w:line="600" w:lineRule="exact"/>
        <w:rPr>
          <w:rStyle w:val="16"/>
          <w:rFonts w:hint="default" w:ascii="Times New Roman" w:hAnsi="Times New Roman" w:cs="Times New Roman" w:eastAsiaTheme="minorEastAsia"/>
          <w:color w:val="auto"/>
          <w:sz w:val="21"/>
        </w:rPr>
      </w:pP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6"/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Style w:val="16"/>
          <w:rFonts w:hint="default" w:ascii="方正小标宋简体" w:hAnsi="方正小标宋简体" w:eastAsia="方正小标宋简体" w:cs="方正小标宋简体"/>
          <w:b w:val="0"/>
          <w:bCs/>
          <w:lang w:val="en-US"/>
        </w:rPr>
        <w:t>3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lang w:val="en-US"/>
        </w:rPr>
        <w:t>.</w:t>
      </w:r>
      <w:r>
        <w:rPr>
          <w:rStyle w:val="16"/>
          <w:rFonts w:hint="default" w:ascii="方正小标宋简体" w:hAnsi="方正小标宋简体" w:eastAsia="方正小标宋简体" w:cs="方正小标宋简体"/>
          <w:b w:val="0"/>
          <w:bCs/>
          <w:lang w:val="en-US"/>
        </w:rPr>
        <w:t>5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 xml:space="preserve"> 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lang w:val="en-US"/>
        </w:rPr>
        <w:t xml:space="preserve"> 2022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</w:rPr>
        <w:t>年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重大政策和重点项目</w:t>
      </w:r>
    </w:p>
    <w:p>
      <w:pPr>
        <w:keepNext w:val="0"/>
        <w:keepLines w:val="0"/>
        <w:widowControl/>
        <w:kinsoku/>
        <w:wordWrap/>
        <w:topLinePunct w:val="0"/>
        <w:bidi w:val="0"/>
        <w:spacing w:line="600" w:lineRule="exact"/>
        <w:jc w:val="center"/>
        <w:rPr>
          <w:rStyle w:val="16"/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绩效执行结果</w:t>
      </w:r>
    </w:p>
    <w:p>
      <w:pPr>
        <w:keepNext w:val="0"/>
        <w:keepLines w:val="0"/>
        <w:tabs>
          <w:tab w:val="left" w:pos="1050"/>
        </w:tabs>
        <w:kinsoku/>
        <w:wordWrap/>
        <w:topLinePunct w:val="0"/>
        <w:bidi w:val="0"/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根据《中共中央 国务院关于全面实施预算绩效管理的意见》（中发〔2018〕34号）、《中共黑龙江省委 黑龙江省人民政府关于全面实施预算绩效管理的实施意见》（黑发〔2019〕30号）等相关文件要求，市财政局聘请黑龙江省顺晨绩效评价咨询有限公司对2022年度使用财政资金的5个重点项目、1个地方政府债券、6个部门整体开展绩效评价。现已完成绩效评价工作、形成绩效评价报告。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both"/>
        <w:textAlignment w:val="baseline"/>
        <w:outlineLvl w:val="1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一、重点项目绩效评价结果</w:t>
      </w:r>
    </w:p>
    <w:tbl>
      <w:tblPr>
        <w:tblStyle w:val="1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779"/>
        <w:gridCol w:w="327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宁安市宁安镇光伏项目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宁安市宁安镇人民政府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2021年宁安、东京城、渤海污水处理费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宁安市市政公用事业服务中心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镜泊镇后渔村大坝肉鸡养殖场关停拆迁补偿款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宁安市镜泊镇人民政府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城乡居民养老保险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宁安市社会保险事业中心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国有企业退休人员社会化管理补助资金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石岩镇人民政府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both"/>
        <w:textAlignment w:val="baseline"/>
        <w:outlineLvl w:val="1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二、地方政府债券项目评价结果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宁安市2022年高标准农田建设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——宁安市农业开发服务中心</w:t>
      </w:r>
    </w:p>
    <w:tbl>
      <w:tblPr>
        <w:tblStyle w:val="1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201"/>
        <w:gridCol w:w="178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宁安市2022年高标准农田建设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宁安市农业开发服务中心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20" w:firstLineChars="100"/>
        <w:jc w:val="both"/>
        <w:textAlignment w:val="baseline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三、部门整体绩效评价结果</w:t>
      </w:r>
    </w:p>
    <w:tbl>
      <w:tblPr>
        <w:tblStyle w:val="1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531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宁安市商务局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宁安市自然资源局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宁安市教育体育局（本级）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宁安市民政局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宁安市交通运输局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宁安市水务局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kinsoku/>
        <w:wordWrap/>
        <w:topLinePunct w:val="0"/>
        <w:bidi w:val="0"/>
        <w:spacing w:line="600" w:lineRule="exact"/>
        <w:rPr>
          <w:rStyle w:val="16"/>
          <w:rFonts w:hint="default" w:ascii="Times New Roman" w:hAnsi="Times New Roman" w:cs="Times New Roman" w:eastAsiaTheme="minorEastAsia"/>
          <w:color w:val="auto"/>
          <w:sz w:val="21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2268" w:right="1418" w:bottom="1701" w:left="1701" w:header="851" w:footer="992" w:gutter="0"/>
      <w:pgNumType w:fmt="decimal" w:start="26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华文中宋" w:hAnsi="华文中宋" w:eastAsia="华文中宋"/>
        <w:sz w:val="24"/>
        <w:szCs w:val="24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mUxNTgyMTM4N2ZhMDk5Y2I1MzFiZGY4NDNkNjQifQ=="/>
  </w:docVars>
  <w:rsids>
    <w:rsidRoot w:val="00301A4D"/>
    <w:rsid w:val="000041FA"/>
    <w:rsid w:val="00004E2C"/>
    <w:rsid w:val="000208C4"/>
    <w:rsid w:val="000B2AF3"/>
    <w:rsid w:val="000E417F"/>
    <w:rsid w:val="00125B77"/>
    <w:rsid w:val="00156251"/>
    <w:rsid w:val="00160D16"/>
    <w:rsid w:val="00175DE4"/>
    <w:rsid w:val="0018131E"/>
    <w:rsid w:val="00192693"/>
    <w:rsid w:val="001D3AE7"/>
    <w:rsid w:val="001F4D2B"/>
    <w:rsid w:val="00206F9E"/>
    <w:rsid w:val="00212C68"/>
    <w:rsid w:val="00222347"/>
    <w:rsid w:val="0025016E"/>
    <w:rsid w:val="00252810"/>
    <w:rsid w:val="00254749"/>
    <w:rsid w:val="00263E2C"/>
    <w:rsid w:val="00277686"/>
    <w:rsid w:val="00296C37"/>
    <w:rsid w:val="002978C8"/>
    <w:rsid w:val="002C4557"/>
    <w:rsid w:val="00301A4D"/>
    <w:rsid w:val="0031146E"/>
    <w:rsid w:val="00323838"/>
    <w:rsid w:val="00343046"/>
    <w:rsid w:val="00383BA4"/>
    <w:rsid w:val="00404AE3"/>
    <w:rsid w:val="00462DB4"/>
    <w:rsid w:val="0049310F"/>
    <w:rsid w:val="00494AC9"/>
    <w:rsid w:val="004B5A96"/>
    <w:rsid w:val="00507703"/>
    <w:rsid w:val="005344E1"/>
    <w:rsid w:val="005472BE"/>
    <w:rsid w:val="00572260"/>
    <w:rsid w:val="0059380E"/>
    <w:rsid w:val="005963EC"/>
    <w:rsid w:val="005B18C6"/>
    <w:rsid w:val="005B63F6"/>
    <w:rsid w:val="005C18F7"/>
    <w:rsid w:val="005D2671"/>
    <w:rsid w:val="0060172E"/>
    <w:rsid w:val="00623D2B"/>
    <w:rsid w:val="006259C1"/>
    <w:rsid w:val="00661667"/>
    <w:rsid w:val="006A6C9B"/>
    <w:rsid w:val="006C36BC"/>
    <w:rsid w:val="006C3907"/>
    <w:rsid w:val="006D5CDB"/>
    <w:rsid w:val="00706FF0"/>
    <w:rsid w:val="0070729F"/>
    <w:rsid w:val="00763E7C"/>
    <w:rsid w:val="007725FA"/>
    <w:rsid w:val="00791912"/>
    <w:rsid w:val="00797F44"/>
    <w:rsid w:val="007B3ACF"/>
    <w:rsid w:val="007C0BBD"/>
    <w:rsid w:val="007F7574"/>
    <w:rsid w:val="008447FC"/>
    <w:rsid w:val="00844CDB"/>
    <w:rsid w:val="008B571D"/>
    <w:rsid w:val="008C1B2E"/>
    <w:rsid w:val="008D7E7B"/>
    <w:rsid w:val="009054CE"/>
    <w:rsid w:val="00905753"/>
    <w:rsid w:val="00907421"/>
    <w:rsid w:val="00916D16"/>
    <w:rsid w:val="009248A9"/>
    <w:rsid w:val="0096063A"/>
    <w:rsid w:val="009A5AC9"/>
    <w:rsid w:val="009A7776"/>
    <w:rsid w:val="009C03AF"/>
    <w:rsid w:val="009D18F5"/>
    <w:rsid w:val="009D20D9"/>
    <w:rsid w:val="009E249F"/>
    <w:rsid w:val="009F247A"/>
    <w:rsid w:val="00A51F20"/>
    <w:rsid w:val="00A55B5E"/>
    <w:rsid w:val="00B16FDA"/>
    <w:rsid w:val="00B25F21"/>
    <w:rsid w:val="00B3629A"/>
    <w:rsid w:val="00B51BD1"/>
    <w:rsid w:val="00B905FA"/>
    <w:rsid w:val="00BB34C7"/>
    <w:rsid w:val="00BB5129"/>
    <w:rsid w:val="00BC1A6A"/>
    <w:rsid w:val="00BC3944"/>
    <w:rsid w:val="00BD1780"/>
    <w:rsid w:val="00BF2E56"/>
    <w:rsid w:val="00C3229B"/>
    <w:rsid w:val="00C6144F"/>
    <w:rsid w:val="00C77FE2"/>
    <w:rsid w:val="00C905AE"/>
    <w:rsid w:val="00CC30CE"/>
    <w:rsid w:val="00D132F0"/>
    <w:rsid w:val="00D97057"/>
    <w:rsid w:val="00DA4F38"/>
    <w:rsid w:val="00DD7AC5"/>
    <w:rsid w:val="00E2691D"/>
    <w:rsid w:val="00E55E75"/>
    <w:rsid w:val="00E92FED"/>
    <w:rsid w:val="00EB5BFB"/>
    <w:rsid w:val="00EE460B"/>
    <w:rsid w:val="00EF7B76"/>
    <w:rsid w:val="00F131F7"/>
    <w:rsid w:val="00F3086A"/>
    <w:rsid w:val="00F46B32"/>
    <w:rsid w:val="00F479FC"/>
    <w:rsid w:val="00F720E2"/>
    <w:rsid w:val="00F73C3E"/>
    <w:rsid w:val="00FD3FE5"/>
    <w:rsid w:val="00FE619D"/>
    <w:rsid w:val="015D6959"/>
    <w:rsid w:val="03756788"/>
    <w:rsid w:val="07603392"/>
    <w:rsid w:val="092B6F9C"/>
    <w:rsid w:val="11F038A9"/>
    <w:rsid w:val="1522612B"/>
    <w:rsid w:val="165A3FEB"/>
    <w:rsid w:val="183977C9"/>
    <w:rsid w:val="213F39C9"/>
    <w:rsid w:val="23A05D83"/>
    <w:rsid w:val="2A0730C3"/>
    <w:rsid w:val="2D9334D3"/>
    <w:rsid w:val="2FF24B01"/>
    <w:rsid w:val="31DF6E85"/>
    <w:rsid w:val="345F079D"/>
    <w:rsid w:val="37166340"/>
    <w:rsid w:val="39003A09"/>
    <w:rsid w:val="3A6F1B3C"/>
    <w:rsid w:val="400C1F61"/>
    <w:rsid w:val="420F6176"/>
    <w:rsid w:val="47D41CFB"/>
    <w:rsid w:val="49312384"/>
    <w:rsid w:val="4B0C16AC"/>
    <w:rsid w:val="4B7A3981"/>
    <w:rsid w:val="50A202BF"/>
    <w:rsid w:val="51202E6C"/>
    <w:rsid w:val="5BDF2FAA"/>
    <w:rsid w:val="5C642491"/>
    <w:rsid w:val="60E620A4"/>
    <w:rsid w:val="61B909D3"/>
    <w:rsid w:val="643840C3"/>
    <w:rsid w:val="64E25671"/>
    <w:rsid w:val="66593BC2"/>
    <w:rsid w:val="699B39C0"/>
    <w:rsid w:val="6A4C06A5"/>
    <w:rsid w:val="6BF200B3"/>
    <w:rsid w:val="6F07075A"/>
    <w:rsid w:val="7A7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440" w:lineRule="exact"/>
      <w:ind w:firstLine="480"/>
    </w:pPr>
  </w:style>
  <w:style w:type="paragraph" w:styleId="3">
    <w:name w:val="caption"/>
    <w:basedOn w:val="1"/>
    <w:next w:val="1"/>
    <w:qFormat/>
    <w:uiPriority w:val="35"/>
    <w:pPr>
      <w:ind w:firstLine="0" w:firstLineChars="0"/>
      <w:jc w:val="center"/>
      <w:outlineLvl w:val="3"/>
    </w:pPr>
    <w:rPr>
      <w:rFonts w:ascii="Arial" w:hAnsi="Arial" w:eastAsia="黑体"/>
      <w:sz w:val="24"/>
      <w:szCs w:val="22"/>
    </w:rPr>
  </w:style>
  <w:style w:type="paragraph" w:styleId="4">
    <w:name w:val="Body Text"/>
    <w:basedOn w:val="1"/>
    <w:next w:val="5"/>
    <w:autoRedefine/>
    <w:qFormat/>
    <w:uiPriority w:val="0"/>
    <w:pPr>
      <w:autoSpaceDE w:val="0"/>
      <w:autoSpaceDN w:val="0"/>
      <w:adjustRightInd w:val="0"/>
      <w:snapToGrid w:val="0"/>
      <w:spacing w:line="588" w:lineRule="atLeast"/>
    </w:pPr>
    <w:rPr>
      <w:rFonts w:ascii="宋体" w:hAnsi="宋体" w:eastAsia="仿宋_GB2312" w:cs="宋体"/>
      <w:spacing w:val="-2"/>
      <w:sz w:val="32"/>
      <w:szCs w:val="32"/>
    </w:rPr>
  </w:style>
  <w:style w:type="paragraph" w:styleId="5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 w:val="21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4"/>
    <w:autoRedefine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6">
    <w:name w:val="fontstyle21"/>
    <w:basedOn w:val="13"/>
    <w:autoRedefine/>
    <w:qFormat/>
    <w:uiPriority w:val="0"/>
    <w:rPr>
      <w:rFonts w:hint="eastAsia" w:ascii="华文中宋" w:hAnsi="华文中宋" w:eastAsia="华文中宋"/>
      <w:color w:val="000000"/>
      <w:sz w:val="44"/>
      <w:szCs w:val="4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Heading #1|1"/>
    <w:basedOn w:val="1"/>
    <w:autoRedefine/>
    <w:qFormat/>
    <w:uiPriority w:val="0"/>
    <w:pPr>
      <w:spacing w:after="1080" w:line="620" w:lineRule="exact"/>
      <w:jc w:val="center"/>
      <w:outlineLvl w:val="0"/>
    </w:pPr>
    <w:rPr>
      <w:rFonts w:ascii="宋体" w:hAnsi="宋体" w:eastAsia="宋体" w:cs="宋体"/>
      <w:color w:val="000000"/>
      <w:kern w:val="0"/>
      <w:sz w:val="46"/>
      <w:szCs w:val="46"/>
      <w:lang w:val="zh-TW" w:eastAsia="zh-TW" w:bidi="zh-TW"/>
    </w:rPr>
  </w:style>
  <w:style w:type="character" w:customStyle="1" w:styleId="19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13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21">
    <w:name w:val="No Spacing"/>
    <w:basedOn w:val="1"/>
    <w:autoRedefine/>
    <w:qFormat/>
    <w:uiPriority w:val="1"/>
    <w:pPr>
      <w:spacing w:after="0" w:line="240" w:lineRule="auto"/>
    </w:pPr>
  </w:style>
  <w:style w:type="paragraph" w:customStyle="1" w:styleId="22">
    <w:name w:val="Other|1"/>
    <w:basedOn w:val="1"/>
    <w:autoRedefine/>
    <w:qFormat/>
    <w:uiPriority w:val="0"/>
    <w:pPr>
      <w:widowControl w:val="0"/>
      <w:spacing w:after="0" w:line="451" w:lineRule="auto"/>
      <w:ind w:firstLine="400"/>
      <w:jc w:val="both"/>
    </w:pPr>
    <w:rPr>
      <w:rFonts w:ascii="宋体" w:hAnsi="宋体" w:eastAsia="宋体" w:cs="宋体"/>
      <w:kern w:val="2"/>
      <w:lang w:val="zh-TW" w:eastAsia="zh-TW" w:bidi="zh-TW"/>
    </w:rPr>
  </w:style>
  <w:style w:type="paragraph" w:customStyle="1" w:styleId="23">
    <w:name w:val="正 文"/>
    <w:basedOn w:val="1"/>
    <w:autoRedefine/>
    <w:qFormat/>
    <w:uiPriority w:val="0"/>
    <w:pPr>
      <w:widowControl/>
      <w:adjustRightInd w:val="0"/>
      <w:ind w:firstLine="480"/>
      <w:jc w:val="left"/>
      <w:textAlignment w:val="baseline"/>
    </w:pPr>
    <w:rPr>
      <w:rFonts w:ascii="Calibri" w:hAnsi="Calibri" w:eastAsia="宋体"/>
      <w:kern w:val="0"/>
      <w:sz w:val="21"/>
      <w:szCs w:val="32"/>
      <w:lang w:val="zh-CN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2023</Words>
  <Characters>2304</Characters>
  <Lines>37</Lines>
  <Paragraphs>10</Paragraphs>
  <TotalTime>0</TotalTime>
  <ScaleCrop>false</ScaleCrop>
  <LinksUpToDate>false</LinksUpToDate>
  <CharactersWithSpaces>2322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2021-05-31T08:22:00Z</dcterms:created>
  <dc:creator>赵新帅</dc:creator>
  <cp:lastModifiedBy>大太阳</cp:lastModifiedBy>
  <cp:lastPrinted>2020-09-04T08:11:00Z</cp:lastPrinted>
  <dcterms:modified xsi:type="dcterms:W3CDTF">2024-07-26T01:42:16Z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BD3CA0C6B2054E62B93305645F345422_13</vt:lpwstr>
  </property>
</Properties>
</file>